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9A0B0" w14:textId="7E73804D" w:rsidR="003D1520" w:rsidRDefault="007E178B">
      <w:hyperlink r:id="rId4" w:tgtFrame="_blank" w:history="1">
        <w:r>
          <w:rPr>
            <w:rStyle w:val="a3"/>
            <w:rFonts w:ascii="Arial" w:hAnsi="Arial" w:cs="Arial"/>
            <w:color w:val="136BFB"/>
            <w:sz w:val="27"/>
            <w:szCs w:val="27"/>
            <w:shd w:val="clear" w:color="auto" w:fill="FFFFFF"/>
          </w:rPr>
          <w:t>Статья. Ситуационное лидерство</w:t>
        </w:r>
      </w:hyperlink>
      <w:bookmarkStart w:id="0" w:name="_GoBack"/>
      <w:bookmarkEnd w:id="0"/>
    </w:p>
    <w:sectPr w:rsidR="003D1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7C2"/>
    <w:rsid w:val="000667C2"/>
    <w:rsid w:val="003D1520"/>
    <w:rsid w:val="007E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6B2751-341E-4106-BA8F-E9C0D0F2A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17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rhelpline.ru/situacionnoe-liderstvo-teor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2022-08-04T11:54:00Z</dcterms:created>
  <dcterms:modified xsi:type="dcterms:W3CDTF">2022-08-04T11:54:00Z</dcterms:modified>
</cp:coreProperties>
</file>